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255f0f89346a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8248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VELIKO TROJSTVO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994.020,83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1.113.432,54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994.604,47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1.139.332,14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25.899,60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4437,6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22.019,96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104.420,97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11.619,96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104.420,97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12.203,60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130.320,57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1. siječnja 2025.  do 30. rujna 2025. prihodi poslovanja ostvareni su u iznosu od 1.113.432,54 eura. Najznačajnije povećanje prihoda poslovanja ostvareno je zbog povećanja iznosa za plaće djelatnika, povećanja prihoda po posebnim propisima, prihoda od pruženih usluga i prihoda iz nadležnog proračuna za nabavu nefinancijske imovine. Smanjenje prihoda poslovanja bilježi se na prihodima od kamata na oročena sredstva i prohodima od donacija.
Rashodi poslovanja u razdoblju od 1. siječnja do 30. rujna 2025.ostvareni su u iznosu 1.139.332,14 eura. Najznačajnije povećanje rashoda evidentirano je na rashodima za zaposlene. Neznatno povećanje bilježi se na materijalnim rashodima, kao i na tekućim donacijama u naravi. Smanjenje rashoda odnosi se na ostale financijske rashode i rashode za ostale naknade građanima u naravi. 
U navedenom razdoblju rashodi za nabavu nefinancijske imovine ostvareni su u iznosu 104.420,97 eura a odnose se na kupnju opreme i udžbenika kao i rashoda za dodatna ulaganja na građevinskim objektima.
U navedenom razdoblju nije bilo ostvarenih primitaka i izdataka od financijske imovine i zaduživanja.
U razdoblju od 1. siječnja do 30. rujna 2025. ostvaren je manjak prihoda poslovanja u iznosu 25.899,60 eura, manjak prihoda od nefinancijske imovine u iznosu od 104.420,97 eura. Slijedom čega je na kraju izvještajnog razdoblja ostvaren ukupan manjak prihoda i primitaka u iznosu 130.320,57 eura. 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f9d7d3f10f43af" /></Relationships>
</file>